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מרץ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באור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התכלת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העזה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" -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1"/>
        </w:rPr>
        <w:t xml:space="preserve">ציורים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b w:val="1"/>
          <w:color w:val="656565"/>
          <w:sz w:val="28"/>
          <w:highlight w:val="white"/>
          <w:rtl w:val="0"/>
        </w:rPr>
        <w:t xml:space="preserve">"In The Bold, Azure Blue Glow" – Etty Lev, paintings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highlight w:val="yellow"/>
          <w:u w:val="single"/>
          <w:vertAlign w:val="baseline"/>
          <w:rtl w:val="1"/>
        </w:rPr>
        <w:t xml:space="preserve">גלריה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highlight w:val="yellow"/>
          <w:u w:val="single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highlight w:val="yellow"/>
          <w:u w:val="single"/>
          <w:vertAlign w:val="baseline"/>
          <w:rtl w:val="1"/>
        </w:rPr>
        <w:t xml:space="preserve">מונטיפיורי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36"/>
          <w:highlight w:val="yellow"/>
          <w:u w:val="single"/>
          <w:vertAlign w:val="baseline"/>
          <w:rtl w:val="1"/>
        </w:rPr>
        <w:t xml:space="preserve">    7.5.15 -31.5.15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sz w:val="32"/>
          <w:vertAlign w:val="baseline"/>
          <w:rtl w:val="1"/>
        </w:rPr>
        <w:t xml:space="preserve">אוצרת</w:t>
      </w:r>
      <w:r w:rsidDel="00000000" w:rsidR="00000000" w:rsidRPr="00000000">
        <w:rPr>
          <w:rFonts w:ascii="Arial" w:cs="Arial" w:eastAsia="Arial" w:hAnsi="Arial"/>
          <w:b w:val="1"/>
          <w:sz w:val="32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32"/>
          <w:vertAlign w:val="baseline"/>
          <w:rtl w:val="1"/>
        </w:rPr>
        <w:t xml:space="preserve">מירי</w:t>
      </w:r>
      <w:r w:rsidDel="00000000" w:rsidR="00000000" w:rsidRPr="00000000">
        <w:rPr>
          <w:rFonts w:ascii="Arial" w:cs="Arial" w:eastAsia="Arial" w:hAnsi="Arial"/>
          <w:b w:val="1"/>
          <w:sz w:val="32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32"/>
          <w:vertAlign w:val="baseline"/>
          <w:rtl w:val="1"/>
        </w:rPr>
        <w:t xml:space="preserve">קרימולובסקי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בתערוכתה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החדשה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: "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באור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התכלת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העזה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מזמינה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הצופה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למפגש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צללים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ודיוקנאות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שנשזרו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בנוף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ילדותה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בירושלים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וקיבלו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עיבוד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מחודש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לאור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הזמן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והמרחק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שעברו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מאז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החלה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עוסקת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בנושא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ביצירתה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התערוכה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תיפתח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בגלריה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מונטיפיורי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ביום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'  7.5.2015,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בשעה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 20:00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בתערוכה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מציגה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קבוצת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השנה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האחרונה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ועבודות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מוקדמות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בהן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מעבדת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זיכרונות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מראות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נופים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ואנשים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מעברה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סדרה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חשובה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ויוצאת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דופן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 (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שתוצג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בתערוכה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)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הסדרה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שאותה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ציירה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אמה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שמונה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ילדים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גדלו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במשפחת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שלושה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אחים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וחמש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אחיות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בתמונה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שציירה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אחרי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תמונה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גדולה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המרפרפת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כתם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לקו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החלו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פתע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לצוץ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אדם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בעיקר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נשיות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פתאום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..."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אומרת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אלי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שוק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מחנה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יהודה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שכונת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מזכרת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משה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גדלתי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הכל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נכנס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ליצירה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הקומפוזיציה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עזת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להופיע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כתם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שחור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רישום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כהה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כתם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כהה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שהפך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לדמות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תמיד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תאמר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הכתם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הוא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שהנחה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הדמות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לעיתים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הדמות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חסרת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הוויה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אנושית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המרחפת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משטח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התמונה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פעמים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אחרות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מוגדרת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ולא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מוגדרת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מצוירת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בפשטות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כמו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בציור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ילדי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דיוקן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יותר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מעין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אוניברסאלית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וסביבה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אינספור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הנראות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כסילואטות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המרחפות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סביב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הילדים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". 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כותבת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קרימולובסקי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במאמרה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לקטלוג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התערוכה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בתערוכה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יוצגו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-25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שמן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ומספר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עבודות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ברישום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קורמים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וצורה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הריק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הקנבס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הלבן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והופכים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לציורי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שמן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מופשטים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וסוערים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עזי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ומבע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מנהלת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ביצירתה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דיאלוג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פתוח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ובלתי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צפוי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העבר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הפנים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והערפילים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זיכרונותיה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הטמונים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היטב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בשורשי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משפחתה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הירושלמית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העולם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הדמיוני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יוצרת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מנותק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לכאורה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מהמציאות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פוגש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נוף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אורבאני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משורטט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ממבט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ראשון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מצטיירים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כשעשוע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כמשחק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קורנת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מהם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ההנאה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הנחת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החופש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תנופת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בחירת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התעלמות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מתכתיבי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הציור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כותב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סורין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הלר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במאמרו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האמנית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בספר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המקיף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שיצא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לרגל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תערוכתה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באפריל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2007 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מופשט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בהתפתחות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".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360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360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פיתחה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שפת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מופשט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ייחודית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מאמנים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אחרים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בתחילת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דרכם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פיגורטיביים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ובהמשך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הפכה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יצירתם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למופשטת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נולדה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לתוך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הציור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המופשט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התחילה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התחנכה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וציירה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מופשט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מראשית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דרכה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האמנותית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 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נבנים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כסביבה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מוכרת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בתוכה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כתמים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וקווים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מצטלבים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היוצרים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מרחב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עשיר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בצורות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גיאומטריות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ובדימויים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בצבעים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בוהקים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התכלת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המופיע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ברבים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(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שמו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נקראת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התערוכה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) 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מקורו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בתכלת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הישראלית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השמים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הכול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מזוהים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נופי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הארץ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זה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נברא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כמקום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פתוח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המזמין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תוכו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אורחים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למפגשים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בלתי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צפויים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דמיוניים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מפתיעים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מפגשים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העבר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ומפגשים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צללים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בחלק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בשנתיים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האחרונות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מופיעות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דיוקן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צללים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אלו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באו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לביקור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חטוף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נותרו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והפכו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לחלק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מרכזי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בקומפוזיציה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מאז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הדמות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הראשונה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ציירתי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התחלתי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נוספות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מרפות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מימני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מוצאת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משפחתי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דמויות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העבר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הרחוק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והקרוב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יחד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מתארת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התקופה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האחרונה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הדחף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לפעפע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עוד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בהיותה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נערה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בהשפעת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אברהם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זרחיה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שהיה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לרקוע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נחושת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בבצלאל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בתקופת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בוריס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שץ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וכבר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מילדותה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התוודעה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לעבודתו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מפגש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מקרי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אליהו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מוערך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מעמד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מיוחד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בדור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האמנים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שאחרי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קבוצת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'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אופקים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חדשים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',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הוביל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להירשם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ללימודים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במכללה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לציור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ולפיסול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ברמת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לימד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לימודיה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במכללה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פיתחה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שפתה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החזותית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האישית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-60,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נקודת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זמן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קריטית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בתרבות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הישראלית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הייתה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רוויה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ברוחות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מרד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ואוונגרד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נחשפה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לאמנות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המושגית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-70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מציגה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לראשונה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תערוכה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בבית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האמנים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צמחה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היצירה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האינטואיטיבית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והתחברה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לציור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המופשט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משטחים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גדולים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מארגי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צבע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צורות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מובנות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לנמחקות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וחיפוש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אחר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ניסוח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חדש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שפתה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מאפיינים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ציוריה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לאורך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השנים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</w:t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both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 ...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אצל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בתהליך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העבודה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כמעט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איזה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תהליך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אכסטטי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אומרת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אומרת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בקול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חלושה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אלא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בקול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חזק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וגדול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ובצבעים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עזים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וישרים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ובזה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מתרכזת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תערוכתה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הנוכחית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בקול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החזק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שעל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אטיודיות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שבו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בכל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זאת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גדול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המורכב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מאין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פריימים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מספר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חייה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ואולי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גם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סיפור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חיינו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ואנחנו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רק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צריכים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להציץ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ולחפור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מבעד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לשכבות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ולגלות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מסכמת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מירי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קרימולובסקי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מאמרה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בשלהי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השבעים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מגיעה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לניסוח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השפה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המופשטת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מנסה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לזכות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בהכרה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ומשתלבת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בפעילות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האמנותית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האמנים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יצרה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קשר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מיוחד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הצייר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פינחס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אברמוביץ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ששימש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באותה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אגודת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הציירים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והפסלים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בתל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ובשנת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1984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מתמנה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להחליפו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כיו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"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האגודה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תפקיד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אותו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מילאה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בהתנדבות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עד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1989.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בשנת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1989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היא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יוזמת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ומפיקה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ספר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אמני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תל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התפרנסה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מהוראה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במשך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25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ובשנים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1993-2003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שמשה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כרכזת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אמנות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פלסטית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בשכונות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ועיירות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פיתוח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באגף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לתרבות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ואמנות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במשרד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החינוך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</w:t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הציגה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כ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-18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תערוכות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יחיד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והשתתפה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בלמעלה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מ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-20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תערוכות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קבוצתיות</w:t>
      </w:r>
      <w:r w:rsidDel="00000000" w:rsidR="00000000" w:rsidRPr="00000000">
        <w:rPr>
          <w:rFonts w:ascii="Arial" w:cs="Arial" w:eastAsia="Arial" w:hAnsi="Arial"/>
          <w:b w:val="0"/>
          <w:sz w:val="24"/>
          <w:vertAlign w:val="baseline"/>
          <w:rtl w:val="1"/>
        </w:rPr>
        <w:t xml:space="preserve">.</w:t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התערוכה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"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באור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התכלת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העזה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" -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אתי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לב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ציורים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</w:t>
        <w:br w:type="textWrapping"/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תוצג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בגלריה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של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מונטיפיורי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מכירות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פומביות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רח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'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גורדון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36,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תל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אביב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טל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' 03-5668818,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בין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התאריכים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highlight w:val="yellow"/>
          <w:vertAlign w:val="baseline"/>
          <w:rtl w:val="1"/>
        </w:rPr>
        <w:t xml:space="preserve">:7.5.15 -31.5.15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28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שעות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הביקור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בתערוכה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ימים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'-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':  10:00-18:00,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יום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ו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':  10:00-13:00.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לפרטים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נוספים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אנא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פנה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למשרדי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28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בברכה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br w:type="textWrapping"/>
        <w:t xml:space="preserve">                                                                          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שמשון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קריסטל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                                                                           '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קריסטל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אמנות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בתקשורת</w:t>
      </w:r>
      <w:r w:rsidDel="00000000" w:rsidR="00000000" w:rsidRPr="00000000">
        <w:rPr>
          <w:rFonts w:ascii="Arial" w:cs="Arial" w:eastAsia="Arial" w:hAnsi="Arial"/>
          <w:b w:val="1"/>
          <w:sz w:val="24"/>
          <w:vertAlign w:val="baseline"/>
          <w:rtl w:val="1"/>
        </w:rPr>
        <w:t xml:space="preserve">'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bidi w:val="1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440" w:top="1440" w:left="1800" w:right="1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bidi w:val="1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drawing>
        <wp:inline distB="0" distT="0" distL="114300" distR="114300">
          <wp:extent cx="6939280" cy="688340"/>
          <wp:effectExtent b="0" l="0" r="0" t="0"/>
          <wp:docPr id="2" name="image03.png"/>
          <a:graphic>
            <a:graphicData uri="http://schemas.openxmlformats.org/drawingml/2006/picture">
              <pic:pic>
                <pic:nvPicPr>
                  <pic:cNvPr id="0" name="image03.png"/>
                  <pic:cNvPicPr preferRelativeResize="0"/>
                </pic:nvPicPr>
                <pic:blipFill>
                  <a:blip r:embed="rId1"/>
                  <a:srcRect b="2772" l="4331" r="3470" t="90793"/>
                  <a:stretch>
                    <a:fillRect/>
                  </a:stretch>
                </pic:blipFill>
                <pic:spPr>
                  <a:xfrm>
                    <a:off x="0" y="0"/>
                    <a:ext cx="6939280" cy="68834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bidi w:val="1"/>
      <w:spacing w:after="708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bidi w:val="1"/>
      <w:spacing w:after="0" w:before="708" w:line="240" w:lineRule="auto"/>
      <w:ind w:left="0" w:right="0" w:firstLine="0"/>
      <w:contextualSpacing w:val="0"/>
      <w:jc w:val="left"/>
    </w:pPr>
    <w:r w:rsidDel="00000000" w:rsidR="00000000" w:rsidRPr="00000000">
      <w:drawing>
        <wp:inline distB="0" distT="0" distL="114300" distR="114300">
          <wp:extent cx="4326890" cy="17335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83282" l="28346" r="19771" t="2199"/>
                  <a:stretch>
                    <a:fillRect/>
                  </a:stretch>
                </pic:blipFill>
                <pic:spPr>
                  <a:xfrm>
                    <a:off x="0" y="0"/>
                    <a:ext cx="4326890" cy="1733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bidi w:val="1"/>
      <w:spacing w:after="0" w:before="0" w:line="240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